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14D" w:rsidRPr="0025414D" w:rsidRDefault="0025414D" w:rsidP="00AA108E">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sidRPr="0025414D">
        <w:rPr>
          <w:rFonts w:ascii="Arial" w:hAnsi="Arial" w:cs="Arial"/>
          <w:sz w:val="22"/>
          <w:szCs w:val="22"/>
        </w:rPr>
        <w:t xml:space="preserve">The </w:t>
      </w:r>
      <w:smartTag w:uri="urn:schemas-microsoft-com:office:smarttags" w:element="PlaceName">
        <w:r w:rsidRPr="0025414D">
          <w:rPr>
            <w:rFonts w:ascii="Arial" w:hAnsi="Arial" w:cs="Arial"/>
            <w:sz w:val="22"/>
            <w:szCs w:val="22"/>
          </w:rPr>
          <w:t>Surat</w:t>
        </w:r>
      </w:smartTag>
      <w:r w:rsidRPr="0025414D">
        <w:rPr>
          <w:rFonts w:ascii="Arial" w:hAnsi="Arial" w:cs="Arial"/>
          <w:sz w:val="22"/>
          <w:szCs w:val="22"/>
        </w:rPr>
        <w:t xml:space="preserve"> </w:t>
      </w:r>
      <w:smartTag w:uri="urn:schemas-microsoft-com:office:smarttags" w:element="PlaceType">
        <w:r w:rsidRPr="0025414D">
          <w:rPr>
            <w:rFonts w:ascii="Arial" w:hAnsi="Arial" w:cs="Arial"/>
            <w:sz w:val="22"/>
            <w:szCs w:val="22"/>
          </w:rPr>
          <w:t>Basin</w:t>
        </w:r>
      </w:smartTag>
      <w:r w:rsidRPr="0025414D">
        <w:rPr>
          <w:rFonts w:ascii="Arial" w:hAnsi="Arial" w:cs="Arial"/>
          <w:sz w:val="22"/>
          <w:szCs w:val="22"/>
        </w:rPr>
        <w:t xml:space="preserve"> is one of </w:t>
      </w:r>
      <w:smartTag w:uri="urn:schemas-microsoft-com:office:smarttags" w:element="country-region">
        <w:r w:rsidRPr="0025414D">
          <w:rPr>
            <w:rFonts w:ascii="Arial" w:hAnsi="Arial" w:cs="Arial"/>
            <w:sz w:val="22"/>
            <w:szCs w:val="22"/>
          </w:rPr>
          <w:t>Australia</w:t>
        </w:r>
      </w:smartTag>
      <w:r w:rsidRPr="0025414D">
        <w:rPr>
          <w:rFonts w:ascii="Arial" w:hAnsi="Arial" w:cs="Arial"/>
          <w:sz w:val="22"/>
          <w:szCs w:val="22"/>
        </w:rPr>
        <w:t xml:space="preserve">’s largest and relatively untouched energy resource areas covering approximately 109,640 square kilometres and includes the Local Government areas of Maranoa, Toowoomba, and the </w:t>
      </w:r>
      <w:smartTag w:uri="urn:schemas-microsoft-com:office:smarttags" w:element="place">
        <w:r w:rsidRPr="0025414D">
          <w:rPr>
            <w:rFonts w:ascii="Arial" w:hAnsi="Arial" w:cs="Arial"/>
            <w:sz w:val="22"/>
            <w:szCs w:val="22"/>
          </w:rPr>
          <w:t>Western Downs</w:t>
        </w:r>
      </w:smartTag>
      <w:r w:rsidRPr="0025414D">
        <w:rPr>
          <w:rFonts w:ascii="Arial" w:hAnsi="Arial" w:cs="Arial"/>
          <w:sz w:val="22"/>
          <w:szCs w:val="22"/>
        </w:rPr>
        <w:t xml:space="preserve"> regional Councils</w:t>
      </w:r>
      <w:r>
        <w:rPr>
          <w:rFonts w:ascii="Arial" w:hAnsi="Arial" w:cs="Arial"/>
          <w:sz w:val="22"/>
          <w:szCs w:val="22"/>
        </w:rPr>
        <w:t>.</w:t>
      </w:r>
    </w:p>
    <w:p w:rsidR="0025414D" w:rsidRPr="0025414D" w:rsidRDefault="0025414D" w:rsidP="00AA108E">
      <w:pPr>
        <w:numPr>
          <w:ilvl w:val="0"/>
          <w:numId w:val="20"/>
        </w:numPr>
        <w:tabs>
          <w:tab w:val="clear" w:pos="720"/>
          <w:tab w:val="num" w:pos="360"/>
        </w:tabs>
        <w:spacing w:before="240"/>
        <w:ind w:left="360"/>
        <w:jc w:val="both"/>
        <w:rPr>
          <w:rFonts w:ascii="Arial" w:hAnsi="Arial" w:cs="Arial"/>
          <w:bCs/>
          <w:spacing w:val="-3"/>
          <w:sz w:val="22"/>
          <w:szCs w:val="22"/>
        </w:rPr>
      </w:pPr>
      <w:r w:rsidRPr="0025414D">
        <w:rPr>
          <w:rFonts w:ascii="Arial" w:hAnsi="Arial" w:cs="Arial"/>
          <w:sz w:val="22"/>
          <w:szCs w:val="22"/>
        </w:rPr>
        <w:t xml:space="preserve">While the area has a strong and traditional agricultural foundation and has attracted investment toward the energy resource sector at various times over the last century, projections indicate the </w:t>
      </w:r>
      <w:smartTag w:uri="urn:schemas-microsoft-com:office:smarttags" w:element="place">
        <w:smartTag w:uri="urn:schemas-microsoft-com:office:smarttags" w:element="PlaceName">
          <w:r w:rsidRPr="0025414D">
            <w:rPr>
              <w:rFonts w:ascii="Arial" w:hAnsi="Arial" w:cs="Arial"/>
              <w:sz w:val="22"/>
              <w:szCs w:val="22"/>
            </w:rPr>
            <w:t>Surat</w:t>
          </w:r>
        </w:smartTag>
        <w:r w:rsidRPr="0025414D">
          <w:rPr>
            <w:rFonts w:ascii="Arial" w:hAnsi="Arial" w:cs="Arial"/>
            <w:sz w:val="22"/>
            <w:szCs w:val="22"/>
          </w:rPr>
          <w:t xml:space="preserve"> </w:t>
        </w:r>
        <w:smartTag w:uri="urn:schemas-microsoft-com:office:smarttags" w:element="PlaceType">
          <w:r w:rsidRPr="0025414D">
            <w:rPr>
              <w:rFonts w:ascii="Arial" w:hAnsi="Arial" w:cs="Arial"/>
              <w:sz w:val="22"/>
              <w:szCs w:val="22"/>
            </w:rPr>
            <w:t>Basin</w:t>
          </w:r>
        </w:smartTag>
      </w:smartTag>
      <w:r w:rsidRPr="0025414D">
        <w:rPr>
          <w:rFonts w:ascii="Arial" w:hAnsi="Arial" w:cs="Arial"/>
          <w:sz w:val="22"/>
          <w:szCs w:val="22"/>
        </w:rPr>
        <w:t xml:space="preserve"> will encounter unprecedented resource sector growth leading to major changes in demands on the region’s infrastructure and services</w:t>
      </w:r>
      <w:r>
        <w:rPr>
          <w:rFonts w:ascii="Arial" w:hAnsi="Arial" w:cs="Arial"/>
          <w:sz w:val="22"/>
          <w:szCs w:val="22"/>
        </w:rPr>
        <w:t>.</w:t>
      </w:r>
    </w:p>
    <w:p w:rsidR="00AA108E" w:rsidRDefault="00AA108E" w:rsidP="00AA108E">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Draft Surat Basin Regional Planning Framework is a non-statutory planning instrument that will be used to inform the review and preparation of existing and future statutory regional plans and planning policy, as well as the assessment of Environmental Impact Statements for major projects, the development of a state-wide infrastructure plan, and associated responses within the </w:t>
      </w:r>
      <w:smartTag w:uri="urn:schemas-microsoft-com:office:smarttags" w:element="place">
        <w:smartTag w:uri="urn:schemas-microsoft-com:office:smarttags" w:element="PlaceName">
          <w:r>
            <w:rPr>
              <w:rFonts w:ascii="Arial" w:hAnsi="Arial" w:cs="Arial"/>
              <w:bCs/>
              <w:spacing w:val="-3"/>
              <w:sz w:val="22"/>
              <w:szCs w:val="22"/>
            </w:rPr>
            <w:t>Surat</w:t>
          </w:r>
        </w:smartTag>
        <w:r>
          <w:rPr>
            <w:rFonts w:ascii="Arial" w:hAnsi="Arial" w:cs="Arial"/>
            <w:bCs/>
            <w:spacing w:val="-3"/>
            <w:sz w:val="22"/>
            <w:szCs w:val="22"/>
          </w:rPr>
          <w:t xml:space="preserve"> </w:t>
        </w:r>
        <w:smartTag w:uri="urn:schemas-microsoft-com:office:smarttags" w:element="PlaceType">
          <w:r>
            <w:rPr>
              <w:rFonts w:ascii="Arial" w:hAnsi="Arial" w:cs="Arial"/>
              <w:bCs/>
              <w:spacing w:val="-3"/>
              <w:sz w:val="22"/>
              <w:szCs w:val="22"/>
            </w:rPr>
            <w:t>Basin</w:t>
          </w:r>
        </w:smartTag>
      </w:smartTag>
      <w:r w:rsidR="00836340">
        <w:rPr>
          <w:rFonts w:ascii="Arial" w:hAnsi="Arial" w:cs="Arial"/>
          <w:bCs/>
          <w:spacing w:val="-3"/>
          <w:sz w:val="22"/>
          <w:szCs w:val="22"/>
        </w:rPr>
        <w:t>.</w:t>
      </w:r>
    </w:p>
    <w:p w:rsidR="00836340" w:rsidRDefault="00836340" w:rsidP="00836340">
      <w:pPr>
        <w:numPr>
          <w:ilvl w:val="0"/>
          <w:numId w:val="20"/>
        </w:numPr>
        <w:tabs>
          <w:tab w:val="clear" w:pos="720"/>
          <w:tab w:val="num" w:pos="360"/>
        </w:tabs>
        <w:spacing w:before="240"/>
        <w:ind w:left="360"/>
        <w:jc w:val="both"/>
        <w:rPr>
          <w:rFonts w:ascii="Arial" w:hAnsi="Arial" w:cs="Arial"/>
          <w:bCs/>
          <w:spacing w:val="-3"/>
          <w:sz w:val="22"/>
          <w:szCs w:val="22"/>
        </w:rPr>
      </w:pPr>
      <w:r w:rsidRPr="00836340">
        <w:rPr>
          <w:rFonts w:ascii="Arial" w:hAnsi="Arial" w:cs="Arial"/>
          <w:bCs/>
          <w:spacing w:val="-3"/>
          <w:sz w:val="22"/>
          <w:szCs w:val="22"/>
          <w:u w:val="single"/>
        </w:rPr>
        <w:t>Cabinet approved</w:t>
      </w:r>
      <w:r>
        <w:rPr>
          <w:rFonts w:ascii="Arial" w:hAnsi="Arial" w:cs="Arial"/>
          <w:bCs/>
          <w:spacing w:val="-3"/>
          <w:sz w:val="22"/>
          <w:szCs w:val="22"/>
        </w:rPr>
        <w:t xml:space="preserve"> the release of the Draft Surat Basin Regional Planning Framework and Settlement Pattern for consultation.</w:t>
      </w:r>
    </w:p>
    <w:p w:rsidR="00870321" w:rsidRPr="00AA108E" w:rsidRDefault="00AA108E" w:rsidP="00721474">
      <w:pPr>
        <w:numPr>
          <w:ilvl w:val="0"/>
          <w:numId w:val="20"/>
        </w:numPr>
        <w:tabs>
          <w:tab w:val="clear" w:pos="720"/>
          <w:tab w:val="num" w:pos="360"/>
        </w:tabs>
        <w:spacing w:before="360"/>
        <w:ind w:left="357" w:hanging="357"/>
        <w:jc w:val="both"/>
        <w:rPr>
          <w:rFonts w:ascii="Arial" w:hAnsi="Arial" w:cs="Arial"/>
          <w:bCs/>
          <w:spacing w:val="-3"/>
          <w:sz w:val="22"/>
          <w:szCs w:val="22"/>
          <w:u w:val="single"/>
        </w:rPr>
      </w:pPr>
      <w:r w:rsidRPr="00AA108E">
        <w:rPr>
          <w:rFonts w:ascii="Arial" w:hAnsi="Arial" w:cs="Arial"/>
          <w:bCs/>
          <w:spacing w:val="-3"/>
          <w:sz w:val="22"/>
          <w:szCs w:val="22"/>
          <w:u w:val="single"/>
        </w:rPr>
        <w:t>Attachments</w:t>
      </w:r>
    </w:p>
    <w:p w:rsidR="00AA108E" w:rsidRPr="00721474" w:rsidRDefault="008B3D80" w:rsidP="00721474">
      <w:pPr>
        <w:numPr>
          <w:ilvl w:val="0"/>
          <w:numId w:val="23"/>
        </w:numPr>
        <w:spacing w:before="240"/>
        <w:jc w:val="both"/>
        <w:rPr>
          <w:rFonts w:ascii="Arial" w:hAnsi="Arial" w:cs="Arial"/>
          <w:bCs/>
          <w:spacing w:val="-3"/>
          <w:sz w:val="22"/>
          <w:szCs w:val="22"/>
        </w:rPr>
      </w:pPr>
      <w:hyperlink r:id="rId7" w:history="1">
        <w:r w:rsidR="00AA108E" w:rsidRPr="00721474">
          <w:rPr>
            <w:rStyle w:val="Hyperlink"/>
            <w:rFonts w:ascii="Arial" w:hAnsi="Arial" w:cs="Arial"/>
            <w:bCs/>
            <w:spacing w:val="-3"/>
            <w:sz w:val="22"/>
            <w:szCs w:val="22"/>
          </w:rPr>
          <w:t>Draft Surat Basin Regional Planning Framework and Settlement Pattern</w:t>
        </w:r>
      </w:hyperlink>
    </w:p>
    <w:sectPr w:rsidR="00AA108E" w:rsidRPr="00721474" w:rsidSect="0025414D">
      <w:headerReference w:type="default" r:id="rId8"/>
      <w:footerReference w:type="default" r:id="rId9"/>
      <w:headerReference w:type="first" r:id="rId10"/>
      <w:pgSz w:w="11907" w:h="16840" w:code="9"/>
      <w:pgMar w:top="1985" w:right="1418" w:bottom="1191" w:left="1418" w:header="851" w:footer="851"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A25" w:rsidRDefault="00056A25">
      <w:r>
        <w:separator/>
      </w:r>
    </w:p>
  </w:endnote>
  <w:endnote w:type="continuationSeparator" w:id="0">
    <w:p w:rsidR="00056A25" w:rsidRDefault="0005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4D" w:rsidRPr="001141E1" w:rsidRDefault="0025414D"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A25" w:rsidRDefault="00056A25">
      <w:r>
        <w:separator/>
      </w:r>
    </w:p>
  </w:footnote>
  <w:footnote w:type="continuationSeparator" w:id="0">
    <w:p w:rsidR="00056A25" w:rsidRDefault="00056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4D" w:rsidRPr="000400F9" w:rsidRDefault="00A90CCE" w:rsidP="00745F4C">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25414D" w:rsidRPr="000400F9">
      <w:rPr>
        <w:rFonts w:ascii="Arial" w:hAnsi="Arial" w:cs="Arial"/>
        <w:b/>
        <w:sz w:val="22"/>
        <w:szCs w:val="22"/>
        <w:u w:val="single"/>
      </w:rPr>
      <w:t xml:space="preserve">Cabinet – </w:t>
    </w:r>
    <w:r w:rsidR="0025414D">
      <w:rPr>
        <w:rFonts w:ascii="Arial" w:hAnsi="Arial" w:cs="Arial"/>
        <w:b/>
        <w:sz w:val="22"/>
        <w:szCs w:val="22"/>
        <w:u w:val="single"/>
      </w:rPr>
      <w:t>month year</w:t>
    </w:r>
  </w:p>
  <w:p w:rsidR="0025414D" w:rsidRDefault="0025414D"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25414D" w:rsidRDefault="0025414D"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25414D" w:rsidRPr="00F10DF9" w:rsidRDefault="0025414D"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14D" w:rsidRPr="000400F9" w:rsidRDefault="00A90CCE" w:rsidP="00870321">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4" name="Picture 4"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25414D" w:rsidRPr="000400F9">
      <w:rPr>
        <w:rFonts w:ascii="Arial" w:hAnsi="Arial" w:cs="Arial"/>
        <w:b/>
        <w:sz w:val="22"/>
        <w:szCs w:val="22"/>
        <w:u w:val="single"/>
      </w:rPr>
      <w:t xml:space="preserve">Cabinet – </w:t>
    </w:r>
    <w:r w:rsidR="0025414D">
      <w:rPr>
        <w:rFonts w:ascii="Arial" w:hAnsi="Arial" w:cs="Arial"/>
        <w:b/>
        <w:sz w:val="22"/>
        <w:szCs w:val="22"/>
        <w:u w:val="single"/>
      </w:rPr>
      <w:t>October 2010</w:t>
    </w:r>
  </w:p>
  <w:p w:rsidR="0025414D" w:rsidRDefault="0025414D" w:rsidP="00870321">
    <w:pPr>
      <w:pStyle w:val="Header"/>
      <w:spacing w:before="120"/>
      <w:rPr>
        <w:rFonts w:ascii="Arial" w:hAnsi="Arial" w:cs="Arial"/>
        <w:b/>
        <w:sz w:val="22"/>
        <w:szCs w:val="22"/>
        <w:u w:val="single"/>
      </w:rPr>
    </w:pPr>
    <w:smartTag w:uri="urn:schemas-microsoft-com:office:smarttags" w:element="place">
      <w:smartTag w:uri="urn:schemas-microsoft-com:office:smarttags" w:element="PlaceName">
        <w:r>
          <w:rPr>
            <w:rFonts w:ascii="Arial" w:hAnsi="Arial" w:cs="Arial"/>
            <w:b/>
            <w:sz w:val="22"/>
            <w:szCs w:val="22"/>
            <w:u w:val="single"/>
          </w:rPr>
          <w:t>Draft</w:t>
        </w:r>
      </w:smartTag>
      <w:r>
        <w:rPr>
          <w:rFonts w:ascii="Arial" w:hAnsi="Arial" w:cs="Arial"/>
          <w:b/>
          <w:sz w:val="22"/>
          <w:szCs w:val="22"/>
          <w:u w:val="single"/>
        </w:rPr>
        <w:t xml:space="preserve"> </w:t>
      </w:r>
      <w:smartTag w:uri="urn:schemas-microsoft-com:office:smarttags" w:element="PlaceName">
        <w:r>
          <w:rPr>
            <w:rFonts w:ascii="Arial" w:hAnsi="Arial" w:cs="Arial"/>
            <w:b/>
            <w:sz w:val="22"/>
            <w:szCs w:val="22"/>
            <w:u w:val="single"/>
          </w:rPr>
          <w:t>Surat</w:t>
        </w:r>
      </w:smartTag>
      <w:r>
        <w:rPr>
          <w:rFonts w:ascii="Arial" w:hAnsi="Arial" w:cs="Arial"/>
          <w:b/>
          <w:sz w:val="22"/>
          <w:szCs w:val="22"/>
          <w:u w:val="single"/>
        </w:rPr>
        <w:t xml:space="preserve"> </w:t>
      </w:r>
      <w:smartTag w:uri="urn:schemas-microsoft-com:office:smarttags" w:element="PlaceType">
        <w:r>
          <w:rPr>
            <w:rFonts w:ascii="Arial" w:hAnsi="Arial" w:cs="Arial"/>
            <w:b/>
            <w:sz w:val="22"/>
            <w:szCs w:val="22"/>
            <w:u w:val="single"/>
          </w:rPr>
          <w:t>Basin</w:t>
        </w:r>
      </w:smartTag>
    </w:smartTag>
    <w:r>
      <w:rPr>
        <w:rFonts w:ascii="Arial" w:hAnsi="Arial" w:cs="Arial"/>
        <w:b/>
        <w:sz w:val="22"/>
        <w:szCs w:val="22"/>
        <w:u w:val="single"/>
      </w:rPr>
      <w:t xml:space="preserve"> Regional Planning Framework and Settlement Pattern</w:t>
    </w:r>
  </w:p>
  <w:p w:rsidR="0025414D" w:rsidRDefault="0025414D" w:rsidP="00870321">
    <w:pPr>
      <w:pStyle w:val="Header"/>
      <w:spacing w:before="120"/>
      <w:rPr>
        <w:rFonts w:ascii="Arial" w:hAnsi="Arial" w:cs="Arial"/>
        <w:b/>
        <w:sz w:val="22"/>
        <w:szCs w:val="22"/>
        <w:u w:val="single"/>
      </w:rPr>
    </w:pPr>
    <w:r>
      <w:rPr>
        <w:rFonts w:ascii="Arial" w:hAnsi="Arial" w:cs="Arial"/>
        <w:b/>
        <w:sz w:val="22"/>
        <w:szCs w:val="22"/>
        <w:u w:val="single"/>
      </w:rPr>
      <w:t>Minister for Infrastructure and Planning</w:t>
    </w:r>
  </w:p>
  <w:p w:rsidR="0025414D" w:rsidRPr="00F10DF9" w:rsidRDefault="0025414D" w:rsidP="0087032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9DD33D7"/>
    <w:multiLevelType w:val="hybridMultilevel"/>
    <w:tmpl w:val="1E5E58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19F0C69"/>
    <w:multiLevelType w:val="hybridMultilevel"/>
    <w:tmpl w:val="837C9038"/>
    <w:lvl w:ilvl="0" w:tplc="E4B217CA">
      <w:start w:val="1"/>
      <w:numFmt w:val="bullet"/>
      <w:lvlText w:val=""/>
      <w:lvlJc w:val="left"/>
      <w:pPr>
        <w:tabs>
          <w:tab w:val="num" w:pos="1440"/>
        </w:tabs>
        <w:ind w:left="1440" w:hanging="360"/>
      </w:pPr>
      <w:rPr>
        <w:rFonts w:ascii="Symbol" w:hAnsi="Symbol" w:hint="default"/>
        <w:color w:val="auto"/>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5"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5BE4382"/>
    <w:multiLevelType w:val="hybridMultilevel"/>
    <w:tmpl w:val="75EA2434"/>
    <w:lvl w:ilvl="0" w:tplc="692654C8">
      <w:start w:val="1"/>
      <w:numFmt w:val="decimal"/>
      <w:lvlText w:val="%1."/>
      <w:lvlJc w:val="left"/>
      <w:pPr>
        <w:tabs>
          <w:tab w:val="num" w:pos="360"/>
        </w:tabs>
        <w:ind w:left="360" w:hanging="360"/>
      </w:pPr>
      <w:rPr>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F176F87"/>
    <w:multiLevelType w:val="hybridMultilevel"/>
    <w:tmpl w:val="97F415CA"/>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19"/>
  </w:num>
  <w:num w:numId="4">
    <w:abstractNumId w:val="14"/>
  </w:num>
  <w:num w:numId="5">
    <w:abstractNumId w:val="3"/>
  </w:num>
  <w:num w:numId="6">
    <w:abstractNumId w:val="11"/>
  </w:num>
  <w:num w:numId="7">
    <w:abstractNumId w:val="1"/>
  </w:num>
  <w:num w:numId="8">
    <w:abstractNumId w:val="9"/>
  </w:num>
  <w:num w:numId="9">
    <w:abstractNumId w:val="2"/>
  </w:num>
  <w:num w:numId="10">
    <w:abstractNumId w:val="7"/>
  </w:num>
  <w:num w:numId="11">
    <w:abstractNumId w:val="8"/>
  </w:num>
  <w:num w:numId="12">
    <w:abstractNumId w:val="15"/>
  </w:num>
  <w:num w:numId="13">
    <w:abstractNumId w:val="18"/>
  </w:num>
  <w:num w:numId="14">
    <w:abstractNumId w:val="5"/>
  </w:num>
  <w:num w:numId="15">
    <w:abstractNumId w:val="4"/>
  </w:num>
  <w:num w:numId="16">
    <w:abstractNumId w:val="13"/>
  </w:num>
  <w:num w:numId="17">
    <w:abstractNumId w:val="16"/>
  </w:num>
  <w:num w:numId="18">
    <w:abstractNumId w:val="17"/>
  </w:num>
  <w:num w:numId="19">
    <w:abstractNumId w:val="10"/>
  </w:num>
  <w:num w:numId="20">
    <w:abstractNumId w:val="21"/>
  </w:num>
  <w:num w:numId="21">
    <w:abstractNumId w:val="20"/>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D1"/>
    <w:rsid w:val="00021188"/>
    <w:rsid w:val="0002442A"/>
    <w:rsid w:val="0003778C"/>
    <w:rsid w:val="00041A0F"/>
    <w:rsid w:val="000532DB"/>
    <w:rsid w:val="00056A25"/>
    <w:rsid w:val="00070A40"/>
    <w:rsid w:val="0009634A"/>
    <w:rsid w:val="000A1D7D"/>
    <w:rsid w:val="000A2BAC"/>
    <w:rsid w:val="000A6E5D"/>
    <w:rsid w:val="000C0026"/>
    <w:rsid w:val="000C15F5"/>
    <w:rsid w:val="000C1692"/>
    <w:rsid w:val="000C2437"/>
    <w:rsid w:val="000C7639"/>
    <w:rsid w:val="000D05D6"/>
    <w:rsid w:val="000E3F6A"/>
    <w:rsid w:val="00100DDA"/>
    <w:rsid w:val="001227DD"/>
    <w:rsid w:val="00124FE2"/>
    <w:rsid w:val="00126CC9"/>
    <w:rsid w:val="0014649D"/>
    <w:rsid w:val="0015685D"/>
    <w:rsid w:val="00156C19"/>
    <w:rsid w:val="0017782F"/>
    <w:rsid w:val="00182E54"/>
    <w:rsid w:val="001A565A"/>
    <w:rsid w:val="001B5837"/>
    <w:rsid w:val="001C350C"/>
    <w:rsid w:val="001E06B4"/>
    <w:rsid w:val="001E5583"/>
    <w:rsid w:val="001E6C9A"/>
    <w:rsid w:val="002035A4"/>
    <w:rsid w:val="00216296"/>
    <w:rsid w:val="00240160"/>
    <w:rsid w:val="00242B09"/>
    <w:rsid w:val="0025414D"/>
    <w:rsid w:val="0026330A"/>
    <w:rsid w:val="00273B58"/>
    <w:rsid w:val="00287CF0"/>
    <w:rsid w:val="002A6FC7"/>
    <w:rsid w:val="002C29EC"/>
    <w:rsid w:val="002E58D6"/>
    <w:rsid w:val="002E5AA0"/>
    <w:rsid w:val="002F7590"/>
    <w:rsid w:val="003024B9"/>
    <w:rsid w:val="00316A43"/>
    <w:rsid w:val="00330878"/>
    <w:rsid w:val="00331738"/>
    <w:rsid w:val="0033391A"/>
    <w:rsid w:val="00340EF2"/>
    <w:rsid w:val="00355608"/>
    <w:rsid w:val="003737C1"/>
    <w:rsid w:val="00391750"/>
    <w:rsid w:val="003927E5"/>
    <w:rsid w:val="00396048"/>
    <w:rsid w:val="003B4FF5"/>
    <w:rsid w:val="003C5050"/>
    <w:rsid w:val="003C71CD"/>
    <w:rsid w:val="003D2408"/>
    <w:rsid w:val="003D75A0"/>
    <w:rsid w:val="003E2D89"/>
    <w:rsid w:val="00412A34"/>
    <w:rsid w:val="004149B9"/>
    <w:rsid w:val="00444DCF"/>
    <w:rsid w:val="00446100"/>
    <w:rsid w:val="004521D1"/>
    <w:rsid w:val="004565A1"/>
    <w:rsid w:val="00462B40"/>
    <w:rsid w:val="00464036"/>
    <w:rsid w:val="00471062"/>
    <w:rsid w:val="00476361"/>
    <w:rsid w:val="004C65A5"/>
    <w:rsid w:val="004D7050"/>
    <w:rsid w:val="004E3BC5"/>
    <w:rsid w:val="004F4C53"/>
    <w:rsid w:val="00527730"/>
    <w:rsid w:val="005425AB"/>
    <w:rsid w:val="005577AB"/>
    <w:rsid w:val="005B5461"/>
    <w:rsid w:val="005D5BB9"/>
    <w:rsid w:val="005E7616"/>
    <w:rsid w:val="0064268C"/>
    <w:rsid w:val="00653BFE"/>
    <w:rsid w:val="00656393"/>
    <w:rsid w:val="0066421E"/>
    <w:rsid w:val="00667828"/>
    <w:rsid w:val="0067667D"/>
    <w:rsid w:val="006E25A6"/>
    <w:rsid w:val="00721474"/>
    <w:rsid w:val="00742804"/>
    <w:rsid w:val="007447A1"/>
    <w:rsid w:val="00745F4C"/>
    <w:rsid w:val="007653EB"/>
    <w:rsid w:val="00782539"/>
    <w:rsid w:val="0079498D"/>
    <w:rsid w:val="007B6771"/>
    <w:rsid w:val="007C5B4B"/>
    <w:rsid w:val="007D5192"/>
    <w:rsid w:val="007D5917"/>
    <w:rsid w:val="007F46E4"/>
    <w:rsid w:val="008116B9"/>
    <w:rsid w:val="00832489"/>
    <w:rsid w:val="00834946"/>
    <w:rsid w:val="00836340"/>
    <w:rsid w:val="00862C15"/>
    <w:rsid w:val="00867427"/>
    <w:rsid w:val="00870321"/>
    <w:rsid w:val="008A1471"/>
    <w:rsid w:val="008A3F6F"/>
    <w:rsid w:val="008B3D80"/>
    <w:rsid w:val="0090137E"/>
    <w:rsid w:val="0090282F"/>
    <w:rsid w:val="00910375"/>
    <w:rsid w:val="00911F6B"/>
    <w:rsid w:val="009175A7"/>
    <w:rsid w:val="00934403"/>
    <w:rsid w:val="0094685D"/>
    <w:rsid w:val="009551A2"/>
    <w:rsid w:val="009566B7"/>
    <w:rsid w:val="00973D15"/>
    <w:rsid w:val="009778BA"/>
    <w:rsid w:val="009A1957"/>
    <w:rsid w:val="009C71E9"/>
    <w:rsid w:val="009D648B"/>
    <w:rsid w:val="009E4DC1"/>
    <w:rsid w:val="009F2656"/>
    <w:rsid w:val="009F4298"/>
    <w:rsid w:val="00A159BA"/>
    <w:rsid w:val="00A17ED0"/>
    <w:rsid w:val="00A37CA5"/>
    <w:rsid w:val="00A41443"/>
    <w:rsid w:val="00A45816"/>
    <w:rsid w:val="00A70444"/>
    <w:rsid w:val="00A85166"/>
    <w:rsid w:val="00A90CCE"/>
    <w:rsid w:val="00AA108E"/>
    <w:rsid w:val="00AB5421"/>
    <w:rsid w:val="00AB6F21"/>
    <w:rsid w:val="00AC08F2"/>
    <w:rsid w:val="00AD6552"/>
    <w:rsid w:val="00AF610D"/>
    <w:rsid w:val="00B0525E"/>
    <w:rsid w:val="00B25B08"/>
    <w:rsid w:val="00B377F3"/>
    <w:rsid w:val="00B54B39"/>
    <w:rsid w:val="00B97FB4"/>
    <w:rsid w:val="00BB1AFC"/>
    <w:rsid w:val="00BD5C1A"/>
    <w:rsid w:val="00BE346E"/>
    <w:rsid w:val="00BE688B"/>
    <w:rsid w:val="00BF35DF"/>
    <w:rsid w:val="00BF46CA"/>
    <w:rsid w:val="00BF71C6"/>
    <w:rsid w:val="00C16E01"/>
    <w:rsid w:val="00C17E3B"/>
    <w:rsid w:val="00C30A86"/>
    <w:rsid w:val="00C31326"/>
    <w:rsid w:val="00C44A05"/>
    <w:rsid w:val="00C51F18"/>
    <w:rsid w:val="00CB44E7"/>
    <w:rsid w:val="00CC0A18"/>
    <w:rsid w:val="00CC4E00"/>
    <w:rsid w:val="00CD2A14"/>
    <w:rsid w:val="00D714B0"/>
    <w:rsid w:val="00D740A8"/>
    <w:rsid w:val="00D82051"/>
    <w:rsid w:val="00D84B5E"/>
    <w:rsid w:val="00D869BA"/>
    <w:rsid w:val="00D96412"/>
    <w:rsid w:val="00DA6C5D"/>
    <w:rsid w:val="00DD1780"/>
    <w:rsid w:val="00DE73D5"/>
    <w:rsid w:val="00DF08D6"/>
    <w:rsid w:val="00DF2E2C"/>
    <w:rsid w:val="00DF69A7"/>
    <w:rsid w:val="00E129B6"/>
    <w:rsid w:val="00E464DD"/>
    <w:rsid w:val="00E52EB9"/>
    <w:rsid w:val="00E539DE"/>
    <w:rsid w:val="00E814F1"/>
    <w:rsid w:val="00E84E0F"/>
    <w:rsid w:val="00EB074A"/>
    <w:rsid w:val="00EC026F"/>
    <w:rsid w:val="00EC0396"/>
    <w:rsid w:val="00ED2656"/>
    <w:rsid w:val="00ED29FB"/>
    <w:rsid w:val="00EE23E9"/>
    <w:rsid w:val="00EE25B4"/>
    <w:rsid w:val="00F023B9"/>
    <w:rsid w:val="00F04337"/>
    <w:rsid w:val="00F0645A"/>
    <w:rsid w:val="00F515D3"/>
    <w:rsid w:val="00F561A5"/>
    <w:rsid w:val="00F679C1"/>
    <w:rsid w:val="00F822D6"/>
    <w:rsid w:val="00F83C8F"/>
    <w:rsid w:val="00F84EFB"/>
    <w:rsid w:val="00F93C82"/>
    <w:rsid w:val="00FA33B7"/>
    <w:rsid w:val="00FA6D8F"/>
    <w:rsid w:val="00FB34E3"/>
    <w:rsid w:val="00FB60AC"/>
    <w:rsid w:val="00FD2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character" w:styleId="Hyperlink">
    <w:name w:val="Hyperlink"/>
    <w:basedOn w:val="DefaultParagraphFont"/>
    <w:rsid w:val="007D5917"/>
    <w:rPr>
      <w:color w:val="0000FF"/>
      <w:u w:val="single"/>
    </w:rPr>
  </w:style>
  <w:style w:type="character" w:styleId="FollowedHyperlink">
    <w:name w:val="FollowedHyperlink"/>
    <w:basedOn w:val="DefaultParagraphFont"/>
    <w:rsid w:val="001E06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draft-planning-framework%5b1%5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ingwos\Local%20Settings\Temporary%20Internet%20Files\OLKDD\Cab%20Sub%20-%20Policy%20_%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 Sub - Policy _ TEMPLATE (2).dot</Template>
  <TotalTime>0</TotalTime>
  <Pages>1</Pages>
  <Words>173</Words>
  <Characters>1030</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1198</CharactersWithSpaces>
  <SharedDoc>false</SharedDoc>
  <HyperlinkBase>https://www.cabinet.qld.gov.au/documents/2010/Oct/Draft Surat Basin Regional Planning/</HyperlinkBase>
  <HLinks>
    <vt:vector size="6" baseType="variant">
      <vt:variant>
        <vt:i4>7012391</vt:i4>
      </vt:variant>
      <vt:variant>
        <vt:i4>0</vt:i4>
      </vt:variant>
      <vt:variant>
        <vt:i4>0</vt:i4>
      </vt:variant>
      <vt:variant>
        <vt:i4>5</vt:i4>
      </vt:variant>
      <vt:variant>
        <vt:lpwstr>Attachments/draft-planning-framework%5b1%5d.pdf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2011-05-06T01:17:00Z</cp:lastPrinted>
  <dcterms:created xsi:type="dcterms:W3CDTF">2017-10-24T22:22:00Z</dcterms:created>
  <dcterms:modified xsi:type="dcterms:W3CDTF">2018-03-06T01:05:00Z</dcterms:modified>
  <cp:category>Planning,Regional_Development</cp:category>
</cp:coreProperties>
</file>